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E51" w:rsidRPr="00EF4DD8" w:rsidRDefault="00F25E51" w:rsidP="00F25E51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9D17C9" w:rsidRDefault="009D17C9" w:rsidP="00F25E51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9D17C9" w:rsidRDefault="009D17C9" w:rsidP="00F25E51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F25E51" w:rsidRPr="000F5854" w:rsidRDefault="00F25E51" w:rsidP="00F25E51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677484" w:rsidRDefault="002D14E9" w:rsidP="002D14E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D62DC3" w:rsidRPr="00F95705" w:rsidTr="002B3470">
        <w:tc>
          <w:tcPr>
            <w:tcW w:w="1234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0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49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2B3470" w:rsidRPr="00F95705" w:rsidTr="002B3470">
        <w:trPr>
          <w:trHeight w:val="375"/>
        </w:trPr>
        <w:tc>
          <w:tcPr>
            <w:tcW w:w="1234" w:type="dxa"/>
            <w:vAlign w:val="center"/>
          </w:tcPr>
          <w:p w:rsidR="002B3470" w:rsidRPr="00F95705" w:rsidRDefault="002B3470" w:rsidP="002B3470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796" w:type="dxa"/>
          </w:tcPr>
          <w:p w:rsidR="002B3470" w:rsidRPr="002B3470" w:rsidRDefault="002B3470" w:rsidP="002B3470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B3470">
              <w:rPr>
                <w:rFonts w:ascii="Times New Roman" w:hAnsi="Times New Roman"/>
                <w:color w:val="000000"/>
                <w:sz w:val="23"/>
                <w:szCs w:val="23"/>
              </w:rPr>
              <w:t>Цилиндр лабораторный</w:t>
            </w:r>
          </w:p>
        </w:tc>
        <w:tc>
          <w:tcPr>
            <w:tcW w:w="3800" w:type="dxa"/>
          </w:tcPr>
          <w:p w:rsidR="002B3470" w:rsidRPr="002B3470" w:rsidRDefault="002B3470" w:rsidP="002B3470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B3470">
              <w:rPr>
                <w:rFonts w:ascii="Times New Roman" w:hAnsi="Times New Roman"/>
                <w:color w:val="000000"/>
                <w:sz w:val="23"/>
                <w:szCs w:val="23"/>
              </w:rPr>
              <w:t>марка 1-100-2</w:t>
            </w:r>
          </w:p>
        </w:tc>
        <w:tc>
          <w:tcPr>
            <w:tcW w:w="3803" w:type="dxa"/>
          </w:tcPr>
          <w:p w:rsidR="002B3470" w:rsidRPr="002B3470" w:rsidRDefault="002B3470" w:rsidP="002B3470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B3470">
              <w:rPr>
                <w:rFonts w:ascii="Times New Roman" w:hAnsi="Times New Roman"/>
                <w:color w:val="000000"/>
                <w:sz w:val="23"/>
                <w:szCs w:val="23"/>
              </w:rPr>
              <w:t>Цилиндр 1-100-2</w:t>
            </w:r>
          </w:p>
        </w:tc>
        <w:tc>
          <w:tcPr>
            <w:tcW w:w="2493" w:type="dxa"/>
            <w:vAlign w:val="center"/>
          </w:tcPr>
          <w:p w:rsidR="002B3470" w:rsidRPr="00F95705" w:rsidRDefault="002B3470" w:rsidP="002B3470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2B3470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50 962,40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027D29" w:rsidRDefault="00027D29" w:rsidP="0095707F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</w:pPr>
            <w:r w:rsidRPr="00027D29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Лабораторные цилиндры представляют собой стеклянную цилиндрическую трубку, градуированную на определенный объем (от 10 до 2000 мл). Цилиндры исполнения "1" имею</w:t>
            </w:r>
            <w:r w:rsidR="00FE5BEC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т стеклянное основание цилиндра</w:t>
            </w:r>
            <w:r w:rsidRPr="00027D29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. Шкала, соответствующая вместимости, наносится на боковой поверхности. Минимальное значение шкалы находится внизу. </w:t>
            </w:r>
          </w:p>
          <w:p w:rsidR="00370386" w:rsidRPr="00415CB3" w:rsidRDefault="00370386" w:rsidP="0095707F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</w:pPr>
            <w:r w:rsidRPr="00370386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  <w:t xml:space="preserve">Выпуск средства измерения не должно быть ранее 2023 года.           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F25E51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C03654" w:rsidRPr="00F95705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BF29FD" w:rsidRDefault="00BF29FD" w:rsidP="00BF29FD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Д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D62DC3" w:rsidRPr="00BF29FD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соответствующую(ие)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Присутствует указание характеристик, определяющих принадлежность приобретаемых 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4F735C" w:rsidRDefault="00F95705" w:rsidP="006A7EA3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4F735C" w:rsidRDefault="00F95705" w:rsidP="00415CB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95705" w:rsidRDefault="00027D29" w:rsidP="00027D29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027D2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Посуда мерная лабораторная стеклянна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я. </w:t>
            </w:r>
            <w:r w:rsidRPr="00027D2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Цилин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дры, мензурки, колбы, пробирки.                                   </w:t>
            </w:r>
            <w:r w:rsidRPr="00027D2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Технические условия</w:t>
            </w:r>
          </w:p>
        </w:tc>
        <w:tc>
          <w:tcPr>
            <w:tcW w:w="1851" w:type="pct"/>
            <w:vAlign w:val="center"/>
          </w:tcPr>
          <w:p w:rsidR="00F95705" w:rsidRPr="00F95705" w:rsidRDefault="00027D29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27D2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ГОСТ 1770-74</w:t>
            </w: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BF29FD" w:rsidRDefault="00BF29FD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D17C9" w:rsidRDefault="009D17C9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D17C9" w:rsidRDefault="009D17C9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D17C9" w:rsidRDefault="009D17C9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D17C9" w:rsidRDefault="009D17C9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D17C9" w:rsidRDefault="009D17C9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D17C9" w:rsidRDefault="009D17C9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D17C9" w:rsidRDefault="009D17C9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D17C9" w:rsidRDefault="009D17C9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D17C9" w:rsidRDefault="009D17C9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D17C9" w:rsidRDefault="009D17C9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F29FD" w:rsidRPr="00F95705" w:rsidRDefault="00BF29FD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F29FD" w:rsidRPr="00FD26F8" w:rsidRDefault="00BF29FD" w:rsidP="00BF29F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Приложение </w:t>
      </w:r>
      <w:r w:rsidRPr="00FD26F8">
        <w:rPr>
          <w:rFonts w:ascii="Times New Roman" w:hAnsi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bCs/>
          <w:sz w:val="28"/>
          <w:szCs w:val="28"/>
        </w:rPr>
        <w:t>9</w:t>
      </w:r>
    </w:p>
    <w:p w:rsidR="00BF29FD" w:rsidRDefault="00BF29FD" w:rsidP="00BF29F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BF29FD" w:rsidRPr="00FD26F8" w:rsidRDefault="00BF29FD" w:rsidP="00BF29FD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F29FD" w:rsidRDefault="00BF29FD" w:rsidP="00BF29FD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BF29FD" w:rsidRPr="00DA6FEA" w:rsidRDefault="00BF29FD" w:rsidP="00BF29FD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</w:rPr>
      </w:pPr>
    </w:p>
    <w:p w:rsidR="00BF29FD" w:rsidRPr="00DA6FEA" w:rsidRDefault="00BF29FD" w:rsidP="00BF29FD">
      <w:pPr>
        <w:pStyle w:val="a4"/>
        <w:numPr>
          <w:ilvl w:val="0"/>
          <w:numId w:val="20"/>
        </w:numPr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 xml:space="preserve">случае если, </w:t>
      </w:r>
      <w:r w:rsidRPr="00DA6FEA">
        <w:rPr>
          <w:rFonts w:ascii="Times New Roman" w:hAnsi="Times New Roman"/>
          <w:bCs/>
          <w:sz w:val="28"/>
          <w:szCs w:val="28"/>
        </w:rPr>
        <w:t>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BF29FD" w:rsidRPr="00DA6FEA" w:rsidRDefault="00BF29FD" w:rsidP="00BF29FD">
      <w:pPr>
        <w:pStyle w:val="a4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BF29FD" w:rsidRPr="006A4A9A" w:rsidRDefault="00BF29FD" w:rsidP="00BF29FD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Товар должнен соответствовать сертификату или другим документам от завода изготовителя подтверждающие происхождение товара.</w:t>
      </w:r>
    </w:p>
    <w:p w:rsidR="00BF29FD" w:rsidRPr="006A4A9A" w:rsidRDefault="00BF29FD" w:rsidP="00BF29FD">
      <w:pPr>
        <w:pStyle w:val="a4"/>
        <w:rPr>
          <w:rFonts w:ascii="Times New Roman" w:hAnsi="Times New Roman"/>
          <w:sz w:val="28"/>
          <w:szCs w:val="28"/>
          <w:lang w:val="kk-KZ"/>
        </w:rPr>
      </w:pPr>
    </w:p>
    <w:p w:rsidR="00BF29FD" w:rsidRPr="006A4A9A" w:rsidRDefault="00BF29FD" w:rsidP="00BF29FD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6A4A9A">
        <w:rPr>
          <w:rFonts w:ascii="Times New Roman" w:hAnsi="Times New Roman"/>
          <w:sz w:val="28"/>
          <w:szCs w:val="28"/>
          <w:lang w:val="kk-KZ"/>
        </w:rPr>
        <w:t>При поставке требуется:</w:t>
      </w:r>
    </w:p>
    <w:p w:rsidR="00BF29FD" w:rsidRPr="006A4A9A" w:rsidRDefault="00BF29FD" w:rsidP="00BF29FD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первичной поверки с указанием в технической документации (паспорт);</w:t>
      </w:r>
    </w:p>
    <w:p w:rsidR="00BF29FD" w:rsidRPr="006A4A9A" w:rsidRDefault="00BF29FD" w:rsidP="00BF29FD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сертификата об утверждении типа средств измерений на территории РК (должен быть внесен в реестр ГСИ РК и поверен на момент ввода в эксплуатацию, с оставшимся сроком до следующей поверки не менее одного года);</w:t>
      </w:r>
    </w:p>
    <w:p w:rsidR="00BF29FD" w:rsidRPr="006A4A9A" w:rsidRDefault="00BF29FD" w:rsidP="00BF29FD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 xml:space="preserve">аличие </w:t>
      </w:r>
      <w:r w:rsidRPr="00897D5D">
        <w:rPr>
          <w:rFonts w:ascii="Times New Roman" w:hAnsi="Times New Roman"/>
          <w:sz w:val="28"/>
          <w:szCs w:val="28"/>
          <w:lang w:val="kk-KZ"/>
        </w:rPr>
        <w:t>инстр</w:t>
      </w:r>
      <w:r>
        <w:rPr>
          <w:rFonts w:ascii="Times New Roman" w:hAnsi="Times New Roman"/>
          <w:sz w:val="28"/>
          <w:szCs w:val="28"/>
          <w:lang w:val="kk-KZ"/>
        </w:rPr>
        <w:t>укции по эксплуатации на казахском</w:t>
      </w:r>
      <w:r w:rsidRPr="00150D64">
        <w:rPr>
          <w:rFonts w:ascii="Times New Roman" w:hAnsi="Times New Roman"/>
          <w:sz w:val="28"/>
          <w:szCs w:val="28"/>
        </w:rPr>
        <w:t xml:space="preserve"> и/или </w:t>
      </w:r>
      <w:r>
        <w:rPr>
          <w:rFonts w:ascii="Times New Roman" w:hAnsi="Times New Roman"/>
          <w:sz w:val="28"/>
          <w:szCs w:val="28"/>
        </w:rPr>
        <w:t>русском</w:t>
      </w:r>
      <w:r>
        <w:rPr>
          <w:rFonts w:ascii="Times New Roman" w:hAnsi="Times New Roman"/>
          <w:sz w:val="28"/>
          <w:szCs w:val="28"/>
          <w:lang w:val="kk-KZ"/>
        </w:rPr>
        <w:t xml:space="preserve"> языках</w:t>
      </w:r>
      <w:r w:rsidRPr="006A4A9A">
        <w:rPr>
          <w:rFonts w:ascii="Times New Roman" w:hAnsi="Times New Roman"/>
          <w:sz w:val="28"/>
          <w:szCs w:val="28"/>
          <w:lang w:val="kk-KZ"/>
        </w:rPr>
        <w:t>;</w:t>
      </w:r>
    </w:p>
    <w:p w:rsidR="00BF29FD" w:rsidRPr="00DA6FEA" w:rsidRDefault="00BF29FD" w:rsidP="00BF29FD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методики поверки;</w:t>
      </w:r>
    </w:p>
    <w:p w:rsidR="00BF29FD" w:rsidRPr="00DA6FEA" w:rsidRDefault="00BF29FD" w:rsidP="00BF29FD">
      <w:pPr>
        <w:pStyle w:val="a4"/>
        <w:ind w:left="1480"/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BF29FD" w:rsidRDefault="00BF29FD" w:rsidP="00BF29FD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</w:t>
      </w:r>
    </w:p>
    <w:p w:rsidR="00C03654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9D17C9" w:rsidRPr="00F95705" w:rsidRDefault="009D17C9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03654" w:rsidRPr="00F95705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C3103" w:rsidRDefault="00BC310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95705" w:rsidRDefault="00F9570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Pr="00F95705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25E51" w:rsidRPr="001B099D" w:rsidRDefault="00F25E51" w:rsidP="00F25E51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9D17C9" w:rsidRDefault="009D17C9" w:rsidP="00F25E51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F25E51" w:rsidRPr="000F5854" w:rsidRDefault="00F25E51" w:rsidP="00F25E51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78"/>
        <w:gridCol w:w="3783"/>
        <w:gridCol w:w="3784"/>
        <w:gridCol w:w="2491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нөмірі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 сипаттамасы</w:t>
            </w:r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 сипаттамасы</w:t>
            </w:r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ҚҚС-сыз</w:t>
            </w:r>
          </w:p>
        </w:tc>
      </w:tr>
      <w:tr w:rsidR="004F65D5" w:rsidRPr="007415E4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4F735C" w:rsidRDefault="002B3470" w:rsidP="00A62911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2B3470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Зертханалық цилиндрі</w:t>
            </w:r>
          </w:p>
        </w:tc>
        <w:tc>
          <w:tcPr>
            <w:tcW w:w="3857" w:type="dxa"/>
            <w:vAlign w:val="center"/>
          </w:tcPr>
          <w:p w:rsidR="004F65D5" w:rsidRPr="004F735C" w:rsidRDefault="002B3470" w:rsidP="002B33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2B3470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маркасы 1-100-2</w:t>
            </w:r>
          </w:p>
        </w:tc>
        <w:tc>
          <w:tcPr>
            <w:tcW w:w="3858" w:type="dxa"/>
            <w:vAlign w:val="center"/>
          </w:tcPr>
          <w:p w:rsidR="004F65D5" w:rsidRPr="004F735C" w:rsidRDefault="00027D29" w:rsidP="006A7EA3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027D29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Цилиндр 1-100-2</w:t>
            </w:r>
          </w:p>
        </w:tc>
        <w:tc>
          <w:tcPr>
            <w:tcW w:w="2538" w:type="dxa"/>
            <w:vAlign w:val="center"/>
          </w:tcPr>
          <w:p w:rsidR="004F65D5" w:rsidRPr="00D1662F" w:rsidRDefault="002B3470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2B3470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50 962,40</w:t>
            </w:r>
          </w:p>
        </w:tc>
      </w:tr>
    </w:tbl>
    <w:p w:rsidR="004F65D5" w:rsidRPr="00D1662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4F65D5" w:rsidRPr="009D17C9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F95705" w:rsidRDefault="00027D29" w:rsidP="00FE5BEC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027D2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Зертханалық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цилиндрлер</w:t>
            </w:r>
            <w:r w:rsidRPr="00027D2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– белгілі бір көлемге (10-нан 2000 мл-ге дейін) градирленген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. Ш</w:t>
            </w:r>
            <w:r w:rsidRPr="00027D2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ыны цилиндрлік түтік.«1» нұсқадағы цилиндрлер шыны цилиндр негізі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нде</w:t>
            </w:r>
            <w:r w:rsidR="00FE5BE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жасалған</w:t>
            </w:r>
            <w:r w:rsidRPr="00027D2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. Бүйірлік бетке сыйымдылыққа сәйкес шкала қолданылады. Ең төменгі шкала мәні төменгі жағында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.</w:t>
            </w:r>
            <w:r w:rsidRPr="0037038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Өлшеу құралын шығару 2023 жылдан ерте болмауы керек.</w:t>
            </w:r>
          </w:p>
        </w:tc>
      </w:tr>
      <w:tr w:rsidR="004F65D5" w:rsidRPr="00D1662F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еткі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зушілерге конкурс шеңберінде тауардың маркасы / моделі, өндірушінің атауы және тауардың шыққан елі туралы ақпарат ұсынуға қойылатын талап</w:t>
            </w:r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F25E51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9D17C9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BF29FD" w:rsidRDefault="00BF29FD" w:rsidP="00BF29FD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9D17C9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 Республикасының заңнамасында көзделген басқа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F95705" w:rsidRPr="00F95705" w:rsidTr="00A54949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4F735C" w:rsidRDefault="00F95705" w:rsidP="006A7EA3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4F735C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Халықаралық стандарттар </w:t>
            </w:r>
          </w:p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ҚР -да тіркелмеген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</w:p>
        </w:tc>
      </w:tr>
      <w:tr w:rsidR="00F95705" w:rsidRPr="00F95705" w:rsidTr="00F95705">
        <w:trPr>
          <w:trHeight w:val="416"/>
        </w:trPr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027D29" w:rsidRPr="00027D29" w:rsidRDefault="00027D29" w:rsidP="00027D29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F95705" w:rsidRPr="00F95705" w:rsidRDefault="00027D29" w:rsidP="00027D29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027D2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Зертханалық шыны ыдыстар. Цилиндрлер, стақандар, колбалар, пробиркалар. Техникалық талаптар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.</w:t>
            </w:r>
          </w:p>
        </w:tc>
        <w:tc>
          <w:tcPr>
            <w:tcW w:w="1851" w:type="pct"/>
            <w:vAlign w:val="center"/>
          </w:tcPr>
          <w:p w:rsidR="00F95705" w:rsidRPr="00F95705" w:rsidRDefault="000F76FC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МемСТ</w:t>
            </w:r>
            <w:r w:rsidR="00A62911" w:rsidRPr="0037038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r w:rsidR="00027D29" w:rsidRPr="00027D2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1770-74</w:t>
            </w: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ҚР тіркелген / ҚР -да тіркелмеген</w:t>
            </w:r>
          </w:p>
        </w:tc>
      </w:tr>
      <w:tr w:rsidR="00F95705" w:rsidRPr="00F95705" w:rsidTr="00F95705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 бет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F95705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BF29FD" w:rsidRDefault="00BF29FD" w:rsidP="00BF29F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D17C9" w:rsidRDefault="009D17C9" w:rsidP="00BF29F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D17C9" w:rsidRDefault="009D17C9" w:rsidP="00BF29F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D17C9" w:rsidRDefault="009D17C9" w:rsidP="00BF29F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D17C9" w:rsidRDefault="009D17C9" w:rsidP="00BF29F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D17C9" w:rsidRDefault="009D17C9" w:rsidP="00BF29F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D17C9" w:rsidRDefault="009D17C9" w:rsidP="00BF29F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D17C9" w:rsidRDefault="009D17C9" w:rsidP="00BF29F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D17C9" w:rsidRDefault="009D17C9" w:rsidP="00BF29F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D17C9" w:rsidRDefault="009D17C9" w:rsidP="00BF29F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D17C9" w:rsidRDefault="009D17C9" w:rsidP="00BF29F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D17C9" w:rsidRDefault="009D17C9" w:rsidP="00BF29F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D17C9" w:rsidRDefault="009D17C9" w:rsidP="00BF29F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D17C9" w:rsidRDefault="009D17C9" w:rsidP="00BF29F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F29FD" w:rsidRDefault="00BF29FD" w:rsidP="00BF29F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F29FD" w:rsidRDefault="00BF29FD" w:rsidP="00BF29F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F29FD" w:rsidRDefault="00BF29FD" w:rsidP="00BF29F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F29FD" w:rsidRDefault="00BF29FD" w:rsidP="00BF29F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F29FD" w:rsidRDefault="00BF29FD" w:rsidP="00BF29F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F29FD" w:rsidRDefault="00BF29FD" w:rsidP="00BF29F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F29FD" w:rsidRPr="00FD26F8" w:rsidRDefault="00BF29FD" w:rsidP="00BF29F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BF29FD" w:rsidRDefault="00BF29FD" w:rsidP="00BF29FD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№9</w:t>
      </w: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BF29FD" w:rsidRPr="00FD26F8" w:rsidRDefault="00BF29FD" w:rsidP="00BF29FD">
      <w:pPr>
        <w:tabs>
          <w:tab w:val="left" w:pos="10477"/>
          <w:tab w:val="left" w:pos="10924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BF29FD" w:rsidRPr="00FD26F8" w:rsidRDefault="00BF29FD" w:rsidP="00BF29FD">
      <w:pPr>
        <w:spacing w:after="0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F29FD" w:rsidRDefault="00BF29FD" w:rsidP="00BF29FD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BF29FD" w:rsidRPr="00D82AA2" w:rsidRDefault="00BF29FD" w:rsidP="00BF29FD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BF29FD" w:rsidRDefault="00BF29FD" w:rsidP="00BF29FD">
      <w:pPr>
        <w:pStyle w:val="a4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Егер </w:t>
      </w:r>
      <w:r w:rsidRPr="00DA6FEA">
        <w:rPr>
          <w:rFonts w:ascii="Times New Roman" w:hAnsi="Times New Roman"/>
          <w:bCs/>
          <w:sz w:val="28"/>
          <w:szCs w:val="28"/>
          <w:lang w:val="kk-KZ"/>
        </w:rPr>
        <w:t>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BF29FD" w:rsidRPr="00FD26F8" w:rsidRDefault="00BF29FD" w:rsidP="00BF29FD">
      <w:pPr>
        <w:pStyle w:val="a4"/>
        <w:spacing w:line="240" w:lineRule="auto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BF29FD" w:rsidRDefault="00BF29FD" w:rsidP="00BF29FD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Тауар өндірушінің тауардың шыққан жерін растайтын сертификатына немесе басқа құжаттарына сәйкес келуі керек.</w:t>
      </w:r>
      <w:r w:rsidRPr="00FD26F8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BF29FD" w:rsidRPr="006A4A9A" w:rsidRDefault="00BF29FD" w:rsidP="00BF29FD">
      <w:pPr>
        <w:pStyle w:val="a4"/>
        <w:rPr>
          <w:rFonts w:ascii="Times New Roman" w:hAnsi="Times New Roman"/>
          <w:bCs/>
          <w:sz w:val="28"/>
          <w:szCs w:val="28"/>
          <w:lang w:val="kk-KZ"/>
        </w:rPr>
      </w:pPr>
    </w:p>
    <w:p w:rsidR="00BF29FD" w:rsidRPr="006A4A9A" w:rsidRDefault="00BF29FD" w:rsidP="00BF29FD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Жеткізу кезінде қажет:</w:t>
      </w:r>
    </w:p>
    <w:p w:rsidR="00BF29FD" w:rsidRPr="006A4A9A" w:rsidRDefault="00BF29FD" w:rsidP="00BF29FD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ехникалық құжаттамада (паспорт)көрсетілген бастапқы тексерудің болуы;</w:t>
      </w:r>
    </w:p>
    <w:p w:rsidR="00BF29FD" w:rsidRPr="006A4A9A" w:rsidRDefault="00BF29FD" w:rsidP="00BF29FD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ҚР аумағында өлшем құралдарының типін бекіту туралы сертификаттың болуы (ҚР МӨЖ тізіліміне енгізілуі және пайдалануға берілген сәтте, келесі тексеруге дейін кемінде бір жыл қалған мерзіммен салыстырып тексерілуі тиіс);</w:t>
      </w:r>
    </w:p>
    <w:p w:rsidR="00BF29FD" w:rsidRPr="006A4A9A" w:rsidRDefault="00BF29FD" w:rsidP="00BF29FD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П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 xml:space="preserve">айдалану </w:t>
      </w:r>
      <w:r>
        <w:rPr>
          <w:rFonts w:ascii="Times New Roman" w:hAnsi="Times New Roman"/>
          <w:bCs/>
          <w:sz w:val="28"/>
          <w:szCs w:val="28"/>
          <w:lang w:val="kk-KZ"/>
        </w:rPr>
        <w:t>жөніндегі нұсқаулық қазақ немесе</w:t>
      </w:r>
      <w:r w:rsidRPr="00897D5D">
        <w:rPr>
          <w:rFonts w:ascii="Times New Roman" w:hAnsi="Times New Roman"/>
          <w:bCs/>
          <w:sz w:val="28"/>
          <w:szCs w:val="28"/>
          <w:lang w:val="kk-KZ"/>
        </w:rPr>
        <w:t xml:space="preserve"> орыс тілінде болуы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BF29FD" w:rsidRDefault="00BF29FD" w:rsidP="00BF29FD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 xml:space="preserve">ексеру әдістемесінің </w:t>
      </w:r>
      <w:r>
        <w:rPr>
          <w:rFonts w:ascii="Times New Roman" w:hAnsi="Times New Roman"/>
          <w:bCs/>
          <w:sz w:val="28"/>
          <w:szCs w:val="28"/>
          <w:lang w:val="kk-KZ"/>
        </w:rPr>
        <w:t>болуы;</w:t>
      </w:r>
    </w:p>
    <w:p w:rsidR="00BF29FD" w:rsidRPr="006F3A9D" w:rsidRDefault="00BF29FD" w:rsidP="00BF29FD">
      <w:pPr>
        <w:pStyle w:val="a4"/>
        <w:spacing w:after="0"/>
        <w:ind w:left="184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F95705" w:rsidRDefault="00F95705" w:rsidP="00F25E51">
      <w:pPr>
        <w:ind w:firstLine="400"/>
        <w:jc w:val="center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9D17C9" w:rsidRDefault="009D17C9" w:rsidP="00F25E51">
      <w:pPr>
        <w:ind w:firstLine="400"/>
        <w:jc w:val="center"/>
        <w:rPr>
          <w:rFonts w:ascii="Times New Roman" w:hAnsi="Times New Roman"/>
          <w:b/>
          <w:sz w:val="23"/>
          <w:szCs w:val="23"/>
          <w:lang w:val="kk-KZ"/>
        </w:rPr>
      </w:pPr>
      <w:bookmarkStart w:id="0" w:name="_GoBack"/>
      <w:bookmarkEnd w:id="0"/>
    </w:p>
    <w:sectPr w:rsidR="009D17C9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3C5E9D"/>
    <w:multiLevelType w:val="multilevel"/>
    <w:tmpl w:val="FB7C780E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11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4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9C4515"/>
    <w:multiLevelType w:val="multilevel"/>
    <w:tmpl w:val="BA12E474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21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1"/>
  </w:num>
  <w:num w:numId="7">
    <w:abstractNumId w:val="9"/>
  </w:num>
  <w:num w:numId="8">
    <w:abstractNumId w:val="1"/>
  </w:num>
  <w:num w:numId="9">
    <w:abstractNumId w:val="7"/>
  </w:num>
  <w:num w:numId="10">
    <w:abstractNumId w:val="13"/>
  </w:num>
  <w:num w:numId="11">
    <w:abstractNumId w:val="17"/>
  </w:num>
  <w:num w:numId="12">
    <w:abstractNumId w:val="8"/>
  </w:num>
  <w:num w:numId="13">
    <w:abstractNumId w:val="22"/>
  </w:num>
  <w:num w:numId="14">
    <w:abstractNumId w:val="3"/>
  </w:num>
  <w:num w:numId="15">
    <w:abstractNumId w:val="12"/>
  </w:num>
  <w:num w:numId="16">
    <w:abstractNumId w:val="15"/>
  </w:num>
  <w:num w:numId="17">
    <w:abstractNumId w:val="4"/>
  </w:num>
  <w:num w:numId="18">
    <w:abstractNumId w:val="16"/>
  </w:num>
  <w:num w:numId="19">
    <w:abstractNumId w:val="6"/>
  </w:num>
  <w:num w:numId="20">
    <w:abstractNumId w:val="20"/>
  </w:num>
  <w:num w:numId="21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27D29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427F"/>
    <w:rsid w:val="000F76FC"/>
    <w:rsid w:val="00102723"/>
    <w:rsid w:val="00116B59"/>
    <w:rsid w:val="00121191"/>
    <w:rsid w:val="00124787"/>
    <w:rsid w:val="00125992"/>
    <w:rsid w:val="00133D8A"/>
    <w:rsid w:val="00153493"/>
    <w:rsid w:val="00157B8D"/>
    <w:rsid w:val="001629CC"/>
    <w:rsid w:val="001811C1"/>
    <w:rsid w:val="001818C5"/>
    <w:rsid w:val="001843D6"/>
    <w:rsid w:val="00197434"/>
    <w:rsid w:val="001B62B3"/>
    <w:rsid w:val="001D7F5A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B33D5"/>
    <w:rsid w:val="002B3470"/>
    <w:rsid w:val="002C0B07"/>
    <w:rsid w:val="002C5282"/>
    <w:rsid w:val="002D147D"/>
    <w:rsid w:val="002D14E9"/>
    <w:rsid w:val="002E143F"/>
    <w:rsid w:val="002F2948"/>
    <w:rsid w:val="00317396"/>
    <w:rsid w:val="003374BA"/>
    <w:rsid w:val="00342FD7"/>
    <w:rsid w:val="00352532"/>
    <w:rsid w:val="00354789"/>
    <w:rsid w:val="00360058"/>
    <w:rsid w:val="00366870"/>
    <w:rsid w:val="00370386"/>
    <w:rsid w:val="00373AA2"/>
    <w:rsid w:val="00377398"/>
    <w:rsid w:val="0038690D"/>
    <w:rsid w:val="00391831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15CB3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7413F"/>
    <w:rsid w:val="00487C37"/>
    <w:rsid w:val="00492648"/>
    <w:rsid w:val="00497B1E"/>
    <w:rsid w:val="004A01C6"/>
    <w:rsid w:val="004E3D07"/>
    <w:rsid w:val="004F65D5"/>
    <w:rsid w:val="004F6C11"/>
    <w:rsid w:val="004F735C"/>
    <w:rsid w:val="005032B4"/>
    <w:rsid w:val="005070CE"/>
    <w:rsid w:val="00531B34"/>
    <w:rsid w:val="00532A92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F1C0A"/>
    <w:rsid w:val="006171C0"/>
    <w:rsid w:val="0062163A"/>
    <w:rsid w:val="006353CE"/>
    <w:rsid w:val="0064550B"/>
    <w:rsid w:val="006538EE"/>
    <w:rsid w:val="00653D1C"/>
    <w:rsid w:val="00654143"/>
    <w:rsid w:val="00656012"/>
    <w:rsid w:val="0067131F"/>
    <w:rsid w:val="00677484"/>
    <w:rsid w:val="00682F1C"/>
    <w:rsid w:val="00684CD6"/>
    <w:rsid w:val="006867A9"/>
    <w:rsid w:val="00694FF7"/>
    <w:rsid w:val="006A40C7"/>
    <w:rsid w:val="006A7EA3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15E4"/>
    <w:rsid w:val="0074690F"/>
    <w:rsid w:val="007575B8"/>
    <w:rsid w:val="0076224F"/>
    <w:rsid w:val="0076379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3120E"/>
    <w:rsid w:val="0083506E"/>
    <w:rsid w:val="0083759D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07F"/>
    <w:rsid w:val="00957C0B"/>
    <w:rsid w:val="00971CE4"/>
    <w:rsid w:val="0097511B"/>
    <w:rsid w:val="00987462"/>
    <w:rsid w:val="00994DEF"/>
    <w:rsid w:val="009B4C1D"/>
    <w:rsid w:val="009B56AA"/>
    <w:rsid w:val="009B5FAA"/>
    <w:rsid w:val="009C0291"/>
    <w:rsid w:val="009C3284"/>
    <w:rsid w:val="009C38C8"/>
    <w:rsid w:val="009D17C9"/>
    <w:rsid w:val="009D2D54"/>
    <w:rsid w:val="009D3065"/>
    <w:rsid w:val="009E476E"/>
    <w:rsid w:val="009E50F0"/>
    <w:rsid w:val="009E523F"/>
    <w:rsid w:val="00A03AA4"/>
    <w:rsid w:val="00A212DC"/>
    <w:rsid w:val="00A45A5A"/>
    <w:rsid w:val="00A62911"/>
    <w:rsid w:val="00A62BAB"/>
    <w:rsid w:val="00A64B8E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352C3"/>
    <w:rsid w:val="00B4250A"/>
    <w:rsid w:val="00B4411E"/>
    <w:rsid w:val="00B45C6A"/>
    <w:rsid w:val="00B562DC"/>
    <w:rsid w:val="00B62465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29FD"/>
    <w:rsid w:val="00BF4185"/>
    <w:rsid w:val="00C029F0"/>
    <w:rsid w:val="00C02E3B"/>
    <w:rsid w:val="00C03654"/>
    <w:rsid w:val="00C0616A"/>
    <w:rsid w:val="00C31458"/>
    <w:rsid w:val="00C572E1"/>
    <w:rsid w:val="00C623A3"/>
    <w:rsid w:val="00C62AF2"/>
    <w:rsid w:val="00C7410A"/>
    <w:rsid w:val="00C81237"/>
    <w:rsid w:val="00C83A75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1662F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5038"/>
    <w:rsid w:val="00DA0417"/>
    <w:rsid w:val="00DA64F7"/>
    <w:rsid w:val="00DE3601"/>
    <w:rsid w:val="00E0546C"/>
    <w:rsid w:val="00E1045D"/>
    <w:rsid w:val="00E14A3C"/>
    <w:rsid w:val="00E15BFA"/>
    <w:rsid w:val="00E15FB6"/>
    <w:rsid w:val="00E17CC5"/>
    <w:rsid w:val="00E21AD5"/>
    <w:rsid w:val="00E22D22"/>
    <w:rsid w:val="00E2782B"/>
    <w:rsid w:val="00E43576"/>
    <w:rsid w:val="00E554F9"/>
    <w:rsid w:val="00E75600"/>
    <w:rsid w:val="00E82AFD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25E51"/>
    <w:rsid w:val="00F312C6"/>
    <w:rsid w:val="00F33814"/>
    <w:rsid w:val="00F47887"/>
    <w:rsid w:val="00F47F59"/>
    <w:rsid w:val="00F72DD8"/>
    <w:rsid w:val="00F82463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E5BEC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8A0C1"/>
  <w15:docId w15:val="{1E1977E4-FA17-49E8-BC9B-33CAE352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5B51A-C4B4-4CDC-B806-0FF87B4EA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17</cp:revision>
  <cp:lastPrinted>2023-12-05T06:23:00Z</cp:lastPrinted>
  <dcterms:created xsi:type="dcterms:W3CDTF">2024-01-31T05:35:00Z</dcterms:created>
  <dcterms:modified xsi:type="dcterms:W3CDTF">2024-04-30T13:04:00Z</dcterms:modified>
</cp:coreProperties>
</file>